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 w:line="240" w:lineRule="auto"/>
        <w:ind w:left="0" w:right="0" w:firstLine="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Style w:val="Title"/>
        <w:ind w:firstLine="23"/>
        <w:rPr/>
      </w:pPr>
      <w:r w:rsidDel="00000000" w:rsidR="00000000" w:rsidRPr="00000000">
        <w:rPr>
          <w:rtl w:val="0"/>
        </w:rPr>
        <w:t xml:space="preserve">Joint Schedule 12 (Supply Chain Visibility)</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1"/>
        <w:tblW w:w="8515.0" w:type="dxa"/>
        <w:jc w:val="left"/>
        <w:tblInd w:w="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8"/>
        <w:gridCol w:w="1844"/>
        <w:gridCol w:w="4395"/>
        <w:gridCol w:w="1568"/>
        <w:tblGridChange w:id="0">
          <w:tblGrid>
            <w:gridCol w:w="708"/>
            <w:gridCol w:w="1844"/>
            <w:gridCol w:w="4395"/>
            <w:gridCol w:w="1568"/>
          </w:tblGrid>
        </w:tblGridChange>
      </w:tblGrid>
      <w:tr>
        <w:trPr>
          <w:cantSplit w:val="0"/>
          <w:trHeight w:val="256" w:hRule="atLeast"/>
          <w:tblHeader w:val="0"/>
        </w:trPr>
        <w:tc>
          <w:tcPr>
            <w:gridSpan w:val="4"/>
            <w:shd w:fill="bebebe" w:val="clear"/>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 w:lineRule="auto"/>
              <w:ind w:left="2" w:right="0"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Document Management</w:t>
            </w:r>
          </w:p>
        </w:tc>
      </w:tr>
      <w:tr>
        <w:trPr>
          <w:cantSplit w:val="0"/>
          <w:trHeight w:val="256" w:hRule="atLeast"/>
          <w:tblHeader w:val="0"/>
        </w:trPr>
        <w:tc>
          <w:tcPr>
            <w:shd w:fill="bebebe"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2"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Ver</w:t>
            </w:r>
          </w:p>
        </w:tc>
        <w:tc>
          <w:tcPr>
            <w:shd w:fill="bebebe" w:val="clea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2"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Date</w:t>
            </w:r>
          </w:p>
        </w:tc>
        <w:tc>
          <w:tcPr>
            <w:shd w:fill="bebebe" w:val="clea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Version</w:t>
            </w:r>
          </w:p>
        </w:tc>
        <w:tc>
          <w:tcPr>
            <w:shd w:fill="bebebe" w:val="clea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w:t>
            </w:r>
          </w:p>
        </w:tc>
      </w:tr>
      <w:tr>
        <w:trPr>
          <w:cantSplit w:val="0"/>
          <w:trHeight w:val="498" w:hRule="atLeast"/>
          <w:tblHeader w:val="0"/>
        </w:trPr>
        <w:tc>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0.1</w:t>
            </w:r>
          </w:p>
        </w:tc>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July 2023</w:t>
            </w:r>
          </w:p>
        </w:tc>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SQ Stage Version</w:t>
            </w:r>
          </w:p>
        </w:tc>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w:t>
            </w:r>
          </w:p>
        </w:tc>
      </w:tr>
      <w:tr>
        <w:trPr>
          <w:cantSplit w:val="0"/>
          <w:trHeight w:val="496" w:hRule="atLeast"/>
          <w:tblHeader w:val="0"/>
        </w:trPr>
        <w:tc>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0.2</w:t>
            </w:r>
          </w:p>
        </w:tc>
        <w:tc>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August 2023</w:t>
            </w:r>
          </w:p>
        </w:tc>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Dialogue Stage Version</w:t>
            </w:r>
          </w:p>
        </w:tc>
        <w:tc>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w:t>
            </w:r>
          </w:p>
        </w:tc>
      </w:tr>
      <w:tr>
        <w:trPr>
          <w:cantSplit w:val="0"/>
          <w:trHeight w:val="498" w:hRule="atLeast"/>
          <w:tblHeader w:val="0"/>
        </w:trPr>
        <w:tc>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0.3</w:t>
            </w:r>
          </w:p>
        </w:tc>
        <w:tc>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October 2023</w:t>
            </w:r>
          </w:p>
        </w:tc>
        <w:tc>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Initial Tender Stage Version</w:t>
            </w:r>
          </w:p>
        </w:tc>
        <w:tc>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w:t>
            </w:r>
          </w:p>
        </w:tc>
      </w:tr>
      <w:tr>
        <w:trPr>
          <w:cantSplit w:val="0"/>
          <w:trHeight w:val="499" w:hRule="atLeast"/>
          <w:tblHeader w:val="0"/>
        </w:trPr>
        <w:tc>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0.4</w:t>
            </w:r>
          </w:p>
        </w:tc>
        <w:tc>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November 2023</w:t>
            </w:r>
          </w:p>
        </w:tc>
        <w:tc>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Final Tender Stage Version</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(No changes from Initial Tender Stage Version)</w:t>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w:t>
            </w:r>
          </w:p>
        </w:tc>
      </w:tr>
      <w:tr>
        <w:trPr>
          <w:cantSplit w:val="0"/>
          <w:trHeight w:val="496" w:hRule="atLeast"/>
          <w:tblHeader w:val="0"/>
        </w:trPr>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1.0</w:t>
            </w:r>
          </w:p>
        </w:tc>
        <w:tc>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February 2024</w:t>
            </w:r>
          </w:p>
        </w:tc>
        <w:tc>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Award Version</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(No changes from Final Tender Stage Version)</w:t>
            </w:r>
          </w:p>
        </w:tc>
        <w:tc>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w:t>
            </w:r>
          </w:p>
        </w:tc>
      </w:tr>
      <w:tr>
        <w:trPr>
          <w:cantSplit w:val="0"/>
          <w:trHeight w:val="498" w:hRule="atLeast"/>
          <w:tblHeader w:val="0"/>
        </w:trPr>
        <w:tc>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1.1</w:t>
            </w:r>
          </w:p>
        </w:tc>
        <w:tc>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September 2024</w:t>
            </w:r>
          </w:p>
        </w:tc>
        <w:tc>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Variation 1 Version</w:t>
            </w:r>
          </w:p>
        </w:tc>
        <w:tc>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w:t>
            </w:r>
          </w:p>
        </w:tc>
      </w:tr>
    </w:tbl>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 w:right="0" w:firstLine="0"/>
        <w:jc w:val="left"/>
        <w:rPr>
          <w:rFonts w:ascii="Arial" w:cs="Arial" w:eastAsia="Arial" w:hAnsi="Arial"/>
          <w:b w:val="0"/>
          <w:i w:val="0"/>
          <w:smallCaps w:val="0"/>
          <w:strike w:val="0"/>
          <w:color w:val="000000"/>
          <w:sz w:val="20"/>
          <w:szCs w:val="20"/>
          <w:u w:val="none"/>
          <w:shd w:fill="auto" w:val="clear"/>
          <w:vertAlign w:val="baseline"/>
        </w:rPr>
        <w:sectPr>
          <w:headerReference r:id="rId7" w:type="default"/>
          <w:footerReference r:id="rId8" w:type="default"/>
          <w:pgSz w:h="16840" w:w="11910" w:orient="portrait"/>
          <w:pgMar w:bottom="1600" w:top="1340" w:left="1417" w:right="1417" w:header="714" w:footer="1412"/>
          <w:pgNumType w:start="1"/>
        </w:sect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pStyle w:val="Heading1"/>
        <w:numPr>
          <w:ilvl w:val="0"/>
          <w:numId w:val="2"/>
        </w:numPr>
        <w:tabs>
          <w:tab w:val="left" w:leader="none" w:pos="304"/>
        </w:tabs>
        <w:spacing w:after="0" w:before="0" w:line="240" w:lineRule="auto"/>
        <w:ind w:left="304" w:right="0" w:hanging="281"/>
        <w:jc w:val="left"/>
        <w:rPr/>
      </w:pPr>
      <w:r w:rsidDel="00000000" w:rsidR="00000000" w:rsidRPr="00000000">
        <w:rPr>
          <w:rtl w:val="0"/>
        </w:rPr>
        <w:t xml:space="preserve">Definitions</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708"/>
          <w:tab w:val="left" w:leader="none" w:pos="743"/>
        </w:tabs>
        <w:spacing w:after="0" w:before="1" w:line="240" w:lineRule="auto"/>
        <w:ind w:left="743" w:right="1030" w:hanging="43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Joint Schedule 12, the following words shall have the following meanings and they shall supplement Joint Schedule 1 (Definitions):</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8074.000000000001" w:type="dxa"/>
        <w:jc w:val="left"/>
        <w:tblInd w:w="62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2173"/>
        <w:gridCol w:w="5901"/>
        <w:tblGridChange w:id="0">
          <w:tblGrid>
            <w:gridCol w:w="2173"/>
            <w:gridCol w:w="5901"/>
          </w:tblGrid>
        </w:tblGridChange>
      </w:tblGrid>
      <w:tr>
        <w:trPr>
          <w:cantSplit w:val="0"/>
          <w:trHeight w:val="668" w:hRule="atLeast"/>
          <w:tblHeader w:val="0"/>
        </w:trPr>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 w:right="11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w:t>
            </w:r>
          </w:p>
        </w:tc>
      </w:tr>
      <w:tr>
        <w:trPr>
          <w:cantSplit w:val="0"/>
          <w:trHeight w:val="1620" w:hRule="atLeast"/>
          <w:tblHeader w:val="0"/>
        </w:trPr>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40" w:lineRule="auto"/>
              <w:ind w:left="5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40" w:lineRule="auto"/>
              <w:ind w:left="111" w:right="5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w:t>
            </w:r>
          </w:p>
        </w:tc>
      </w:tr>
      <w:tr>
        <w:trPr>
          <w:cantSplit w:val="0"/>
          <w:trHeight w:val="1067" w:hRule="atLeast"/>
          <w:tblHeader w:val="0"/>
        </w:trPr>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92"/>
              </w:tabs>
              <w:spacing w:after="0" w:before="116" w:line="240" w:lineRule="auto"/>
              <w:ind w:left="50" w:right="11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w:t>
              <w:tab/>
              <w:t xml:space="preserve">Chain Information Report Template”</w:t>
            </w:r>
          </w:p>
        </w:tc>
        <w:tc>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40" w:lineRule="auto"/>
              <w:ind w:left="11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Joint Schedule 12; and</w:t>
            </w:r>
          </w:p>
        </w:tc>
      </w:tr>
      <w:tr>
        <w:trPr>
          <w:cantSplit w:val="0"/>
          <w:trHeight w:val="944" w:hRule="atLeast"/>
          <w:tblHeader w:val="0"/>
        </w:trPr>
        <w:tc>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40" w:lineRule="auto"/>
              <w:ind w:left="5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 w:line="229" w:lineRule="auto"/>
              <w:ind w:left="111" w:right="4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bl>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pStyle w:val="Heading1"/>
        <w:numPr>
          <w:ilvl w:val="0"/>
          <w:numId w:val="2"/>
        </w:numPr>
        <w:tabs>
          <w:tab w:val="left" w:leader="none" w:pos="450"/>
        </w:tabs>
        <w:spacing w:after="0" w:before="0" w:line="240" w:lineRule="auto"/>
        <w:ind w:left="450" w:right="0" w:hanging="427"/>
        <w:jc w:val="left"/>
        <w:rPr/>
      </w:pPr>
      <w:r w:rsidDel="00000000" w:rsidR="00000000" w:rsidRPr="00000000">
        <w:rPr>
          <w:rtl w:val="0"/>
        </w:rPr>
        <w:t xml:space="preserve">Visibility of Sub-Contract Opportunities in the Supply Chain</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1016"/>
        </w:tabs>
        <w:spacing w:after="0" w:before="1" w:line="240" w:lineRule="auto"/>
        <w:ind w:left="1016"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3A">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tabs>
          <w:tab w:val="left" w:leader="none" w:pos="1580"/>
          <w:tab w:val="left" w:leader="none" w:pos="1583"/>
        </w:tabs>
        <w:spacing w:after="0" w:before="0" w:line="240" w:lineRule="auto"/>
        <w:ind w:left="1583" w:right="102"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 Contract opportunities arising from or in connection with the provision of the Deliverables above a minimum threshold of £100,000 that arise during the Contract Period;</w:t>
      </w:r>
    </w:p>
    <w:p w:rsidR="00000000" w:rsidDel="00000000" w:rsidP="00000000" w:rsidRDefault="00000000" w:rsidRPr="00000000" w14:paraId="0000003B">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tabs>
          <w:tab w:val="left" w:leader="none" w:pos="1580"/>
          <w:tab w:val="left" w:leader="none" w:pos="1583"/>
        </w:tabs>
        <w:spacing w:after="0" w:before="0" w:line="240" w:lineRule="auto"/>
        <w:ind w:left="1583" w:right="47"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ninety (90) days of awarding a Sub-Contract to a Subcontractor, update the notice on Contract Finder with details of the successful Subcontractor;</w:t>
      </w:r>
    </w:p>
    <w:p w:rsidR="00000000" w:rsidDel="00000000" w:rsidP="00000000" w:rsidRDefault="00000000" w:rsidRPr="00000000" w14:paraId="0000003C">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tabs>
          <w:tab w:val="left" w:leader="none" w:pos="1580"/>
          <w:tab w:val="left" w:leader="none" w:pos="1583"/>
        </w:tabs>
        <w:spacing w:after="0" w:before="0" w:line="240" w:lineRule="auto"/>
        <w:ind w:left="1583" w:right="122"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w:t>
      </w:r>
    </w:p>
    <w:p w:rsidR="00000000" w:rsidDel="00000000" w:rsidP="00000000" w:rsidRDefault="00000000" w:rsidRPr="00000000" w14:paraId="0000003D">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tabs>
          <w:tab w:val="left" w:leader="none" w:pos="1580"/>
          <w:tab w:val="left" w:leader="none" w:pos="1583"/>
        </w:tabs>
        <w:spacing w:after="0" w:before="0" w:line="240" w:lineRule="auto"/>
        <w:ind w:left="1583" w:right="167"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w:t>
      </w:r>
    </w:p>
    <w:p w:rsidR="00000000" w:rsidDel="00000000" w:rsidP="00000000" w:rsidRDefault="00000000" w:rsidRPr="00000000" w14:paraId="0000003E">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tabs>
          <w:tab w:val="left" w:leader="none" w:pos="1580"/>
          <w:tab w:val="left" w:leader="none" w:pos="1583"/>
        </w:tabs>
        <w:spacing w:after="0" w:before="0" w:line="240" w:lineRule="auto"/>
        <w:ind w:left="1583" w:right="846"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1017"/>
        </w:tabs>
        <w:spacing w:after="0" w:before="1" w:line="240" w:lineRule="auto"/>
        <w:ind w:left="1017" w:right="197" w:hanging="634"/>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600" w:top="1340" w:left="1417" w:right="1417" w:header="714" w:footer="1412"/>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Joint Schedule 12 shall provide a full and detailed description of the Sub-Contract opportunity with each of the mandatory fields being completed on Contracts Finder by the Supplier.</w:t>
      </w:r>
    </w:p>
    <w:p w:rsidR="00000000" w:rsidDel="00000000" w:rsidP="00000000" w:rsidRDefault="00000000" w:rsidRPr="00000000" w14:paraId="00000041">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1017"/>
        </w:tabs>
        <w:spacing w:after="0" w:before="82" w:line="240" w:lineRule="auto"/>
        <w:ind w:left="1017" w:right="265" w:hanging="63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Call-Off Contract Commencement Date.</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1017"/>
        </w:tabs>
        <w:spacing w:after="0" w:before="0" w:line="240" w:lineRule="auto"/>
        <w:ind w:left="1017" w:right="254" w:hanging="63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CCS may by giving its prior Approval, agree that a Sub-Contract opportunity is not required to be advertised by the Supplier on Contracts Finder.</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pStyle w:val="Heading1"/>
        <w:numPr>
          <w:ilvl w:val="0"/>
          <w:numId w:val="2"/>
        </w:numPr>
        <w:tabs>
          <w:tab w:val="left" w:leader="none" w:pos="743"/>
        </w:tabs>
        <w:spacing w:after="0" w:before="0" w:line="240" w:lineRule="auto"/>
        <w:ind w:left="743" w:right="0" w:hanging="720"/>
        <w:jc w:val="left"/>
        <w:rPr/>
      </w:pPr>
      <w:r w:rsidDel="00000000" w:rsidR="00000000" w:rsidRPr="00000000">
        <w:rPr>
          <w:rtl w:val="0"/>
        </w:rPr>
        <w:t xml:space="preserve">Visibility of Supply Chain Spend</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1017"/>
        </w:tabs>
        <w:spacing w:after="0" w:before="0" w:line="240" w:lineRule="auto"/>
        <w:ind w:left="1017" w:right="388" w:hanging="56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17" w:right="4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reports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 Management Information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the Relevant Authority which incorporates, for each Service Line as defined in Framework Schedule - Specification, the data described in the Supply Chain Information Report Template which is:</w:t>
      </w:r>
    </w:p>
    <w:p w:rsidR="00000000" w:rsidDel="00000000" w:rsidP="00000000" w:rsidRDefault="00000000" w:rsidRPr="00000000" w14:paraId="0000004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63"/>
        </w:tabs>
        <w:spacing w:after="0" w:before="199" w:line="240" w:lineRule="auto"/>
        <w:ind w:left="1463"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4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63"/>
        </w:tabs>
        <w:spacing w:after="0" w:before="140" w:line="360" w:lineRule="auto"/>
        <w:ind w:left="1463" w:right="1084"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4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62"/>
        </w:tabs>
        <w:spacing w:after="0" w:before="0" w:line="240" w:lineRule="auto"/>
        <w:ind w:left="1462" w:right="0" w:hanging="35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4C">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1017"/>
        </w:tabs>
        <w:spacing w:after="0" w:before="137" w:line="240" w:lineRule="auto"/>
        <w:ind w:left="1017" w:right="225" w:hanging="63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 (a)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1017"/>
        </w:tabs>
        <w:spacing w:after="0" w:before="0" w:line="240" w:lineRule="auto"/>
        <w:ind w:left="1017" w:right="280" w:hanging="569"/>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600" w:top="1340" w:left="1417" w:right="1417" w:header="714" w:footer="1412"/>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CCS.</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pStyle w:val="Heading1"/>
        <w:ind w:left="362" w:firstLine="0"/>
        <w:jc w:val="center"/>
        <w:rPr/>
      </w:pPr>
      <w:r w:rsidDel="00000000" w:rsidR="00000000" w:rsidRPr="00000000">
        <w:rPr>
          <w:rtl w:val="0"/>
        </w:rPr>
        <w:t xml:space="preserve">Annex 1</w:t>
      </w:r>
    </w:p>
    <w:p w:rsidR="00000000" w:rsidDel="00000000" w:rsidP="00000000" w:rsidRDefault="00000000" w:rsidRPr="00000000" w14:paraId="00000052">
      <w:pPr>
        <w:spacing w:before="202" w:lineRule="auto"/>
        <w:ind w:left="354" w:right="0" w:firstLine="0"/>
        <w:jc w:val="center"/>
        <w:rPr>
          <w:b w:val="1"/>
          <w:sz w:val="24"/>
          <w:szCs w:val="24"/>
        </w:rPr>
      </w:pPr>
      <w:r w:rsidDel="00000000" w:rsidR="00000000" w:rsidRPr="00000000">
        <w:rPr>
          <w:b w:val="1"/>
          <w:sz w:val="24"/>
          <w:szCs w:val="24"/>
          <w:rtl w:val="0"/>
        </w:rPr>
        <w:t xml:space="preserve">Supply Chain Information Report Template</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b w:val="1"/>
          <w:sz w:val="20"/>
          <w:szCs w:val="20"/>
          <w:rtl w:val="0"/>
        </w:rPr>
        <w:tab/>
        <w:tab/>
        <w:tab/>
        <w:tab/>
        <w:t xml:space="preserve">Redacted under FOIA S43 Commercial Interests</w:t>
      </w:r>
      <w:r w:rsidDel="00000000" w:rsidR="00000000" w:rsidRPr="00000000">
        <w:rPr>
          <w:rtl w:val="0"/>
        </w:rPr>
      </w:r>
    </w:p>
    <w:p w:rsidR="00000000" w:rsidDel="00000000" w:rsidP="00000000" w:rsidRDefault="00000000" w:rsidRPr="00000000" w14:paraId="00000055">
      <w:pPr>
        <w:spacing w:before="32" w:line="235" w:lineRule="auto"/>
        <w:ind w:left="3916" w:right="3924" w:hanging="1.9999999999998863"/>
        <w:jc w:val="center"/>
        <w:rPr>
          <w:rFonts w:ascii="Quattrocento Sans" w:cs="Quattrocento Sans" w:eastAsia="Quattrocento Sans" w:hAnsi="Quattrocento Sans"/>
          <w:sz w:val="16"/>
          <w:szCs w:val="16"/>
        </w:rPr>
      </w:pPr>
      <w:r w:rsidDel="00000000" w:rsidR="00000000" w:rsidRPr="00000000">
        <w:rPr>
          <w:rFonts w:ascii="Quattrocento Sans" w:cs="Quattrocento Sans" w:eastAsia="Quattrocento Sans" w:hAnsi="Quattrocento Sans"/>
          <w:sz w:val="16"/>
          <w:szCs w:val="16"/>
          <w:rtl w:val="0"/>
        </w:rPr>
        <w:t xml:space="preserve">Annex 1 to Joint Schedule 12.XLSX</w:t>
      </w:r>
    </w:p>
    <w:sectPr>
      <w:type w:val="nextPage"/>
      <w:pgSz w:h="16840" w:w="11910" w:orient="portrait"/>
      <w:pgMar w:bottom="1600" w:top="1340" w:left="1417" w:right="1417" w:header="714" w:footer="141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0</wp:posOffset>
              </wp:positionH>
              <wp:positionV relativeFrom="paragraph">
                <wp:posOffset>9639300</wp:posOffset>
              </wp:positionV>
              <wp:extent cx="1525270" cy="184785"/>
              <wp:effectExtent b="0" l="0" r="0" t="0"/>
              <wp:wrapNone/>
              <wp:docPr id="6" name=""/>
              <a:graphic>
                <a:graphicData uri="http://schemas.microsoft.com/office/word/2010/wordprocessingShape">
                  <wps:wsp>
                    <wps:cNvSpPr/>
                    <wps:cNvPr id="2" name="Shape 2"/>
                    <wps:spPr>
                      <a:xfrm>
                        <a:off x="4588128" y="3692370"/>
                        <a:ext cx="1515745" cy="175260"/>
                      </a:xfrm>
                      <a:prstGeom prst="rect">
                        <a:avLst/>
                      </a:prstGeom>
                      <a:noFill/>
                      <a:ln>
                        <a:noFill/>
                      </a:ln>
                    </wps:spPr>
                    <wps:txbx>
                      <w:txbxContent>
                        <w:p w:rsidR="00000000" w:rsidDel="00000000" w:rsidP="00000000" w:rsidRDefault="00000000" w:rsidRPr="00000000">
                          <w:pPr>
                            <w:spacing w:after="0" w:before="13.999999761581421" w:line="240"/>
                            <w:ind w:left="20" w:right="0" w:firstLine="20"/>
                            <w:jc w:val="left"/>
                            <w:textDirection w:val="btLr"/>
                          </w:pPr>
                          <w:r w:rsidDel="00000000" w:rsidR="00000000" w:rsidRPr="00000000">
                            <w:rPr>
                              <w:rFonts w:ascii="Arial" w:cs="Arial" w:eastAsia="Arial" w:hAnsi="Arial"/>
                              <w:b w:val="0"/>
                              <w:i w:val="0"/>
                              <w:smallCaps w:val="0"/>
                              <w:strike w:val="0"/>
                              <w:color w:val="000000"/>
                              <w:sz w:val="21"/>
                              <w:vertAlign w:val="baseline"/>
                            </w:rPr>
                            <w:t xml:space="preserve">Framework Ref: RM6288</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0</wp:posOffset>
              </wp:positionH>
              <wp:positionV relativeFrom="paragraph">
                <wp:posOffset>9639300</wp:posOffset>
              </wp:positionV>
              <wp:extent cx="1525270" cy="184785"/>
              <wp:effectExtent b="0" l="0" r="0" t="0"/>
              <wp:wrapNone/>
              <wp:docPr id="6"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525270" cy="18478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5626100</wp:posOffset>
              </wp:positionH>
              <wp:positionV relativeFrom="paragraph">
                <wp:posOffset>9804400</wp:posOffset>
              </wp:positionV>
              <wp:extent cx="173355" cy="184785"/>
              <wp:effectExtent b="0" l="0" r="0" t="0"/>
              <wp:wrapNone/>
              <wp:docPr id="9" name=""/>
              <a:graphic>
                <a:graphicData uri="http://schemas.microsoft.com/office/word/2010/wordprocessingShape">
                  <wps:wsp>
                    <wps:cNvSpPr/>
                    <wps:cNvPr id="5" name="Shape 5"/>
                    <wps:spPr>
                      <a:xfrm>
                        <a:off x="5264085" y="3692370"/>
                        <a:ext cx="163830" cy="175260"/>
                      </a:xfrm>
                      <a:prstGeom prst="rect">
                        <a:avLst/>
                      </a:prstGeom>
                      <a:noFill/>
                      <a:ln>
                        <a:noFill/>
                      </a:ln>
                    </wps:spPr>
                    <wps:txbx>
                      <w:txbxContent>
                        <w:p w:rsidR="00000000" w:rsidDel="00000000" w:rsidP="00000000" w:rsidRDefault="00000000" w:rsidRPr="00000000">
                          <w:pPr>
                            <w:spacing w:after="0" w:before="13.999999761581421" w:line="240"/>
                            <w:ind w:left="60" w:right="0" w:firstLine="60"/>
                            <w:jc w:val="left"/>
                            <w:textDirection w:val="btLr"/>
                          </w:pPr>
                          <w:r w:rsidDel="00000000" w:rsidR="00000000" w:rsidRPr="00000000">
                            <w:rPr>
                              <w:rFonts w:ascii="Arial" w:cs="Arial" w:eastAsia="Arial" w:hAnsi="Arial"/>
                              <w:b w:val="0"/>
                              <w:i w:val="0"/>
                              <w:smallCaps w:val="0"/>
                              <w:strike w:val="0"/>
                              <w:color w:val="000000"/>
                              <w:sz w:val="21"/>
                              <w:vertAlign w:val="baseline"/>
                            </w:rPr>
                            <w:t xml:space="preserve"> PAGE 1</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5626100</wp:posOffset>
              </wp:positionH>
              <wp:positionV relativeFrom="paragraph">
                <wp:posOffset>9804400</wp:posOffset>
              </wp:positionV>
              <wp:extent cx="173355" cy="184785"/>
              <wp:effectExtent b="0" l="0" r="0" t="0"/>
              <wp:wrapNone/>
              <wp:docPr id="9"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173355" cy="18478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0</wp:posOffset>
              </wp:positionH>
              <wp:positionV relativeFrom="paragraph">
                <wp:posOffset>9956800</wp:posOffset>
              </wp:positionV>
              <wp:extent cx="1162050" cy="184785"/>
              <wp:effectExtent b="0" l="0" r="0" t="0"/>
              <wp:wrapNone/>
              <wp:docPr id="8" name=""/>
              <a:graphic>
                <a:graphicData uri="http://schemas.microsoft.com/office/word/2010/wordprocessingShape">
                  <wps:wsp>
                    <wps:cNvSpPr/>
                    <wps:cNvPr id="4" name="Shape 4"/>
                    <wps:spPr>
                      <a:xfrm>
                        <a:off x="4769738" y="3692370"/>
                        <a:ext cx="1152525" cy="175260"/>
                      </a:xfrm>
                      <a:prstGeom prst="rect">
                        <a:avLst/>
                      </a:prstGeom>
                      <a:noFill/>
                      <a:ln>
                        <a:noFill/>
                      </a:ln>
                    </wps:spPr>
                    <wps:txbx>
                      <w:txbxContent>
                        <w:p w:rsidR="00000000" w:rsidDel="00000000" w:rsidP="00000000" w:rsidRDefault="00000000" w:rsidRPr="00000000">
                          <w:pPr>
                            <w:spacing w:after="0" w:before="13.999999761581421" w:line="240"/>
                            <w:ind w:left="20" w:right="0" w:firstLine="20"/>
                            <w:jc w:val="left"/>
                            <w:textDirection w:val="btLr"/>
                          </w:pPr>
                          <w:r w:rsidDel="00000000" w:rsidR="00000000" w:rsidRPr="00000000">
                            <w:rPr>
                              <w:rFonts w:ascii="Arial" w:cs="Arial" w:eastAsia="Arial" w:hAnsi="Arial"/>
                              <w:b w:val="0"/>
                              <w:i w:val="0"/>
                              <w:smallCaps w:val="0"/>
                              <w:strike w:val="0"/>
                              <w:color w:val="000000"/>
                              <w:sz w:val="21"/>
                              <w:vertAlign w:val="baseline"/>
                            </w:rPr>
                            <w:t xml:space="preserve">Variation 1 Version</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0</wp:posOffset>
              </wp:positionH>
              <wp:positionV relativeFrom="paragraph">
                <wp:posOffset>9956800</wp:posOffset>
              </wp:positionV>
              <wp:extent cx="1162050" cy="184785"/>
              <wp:effectExtent b="0" l="0" r="0" t="0"/>
              <wp:wrapNone/>
              <wp:docPr id="8"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162050" cy="1847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897241</wp:posOffset>
              </wp:positionH>
              <wp:positionV relativeFrom="page">
                <wp:posOffset>435676</wp:posOffset>
              </wp:positionV>
              <wp:extent cx="2733040" cy="337185"/>
              <wp:effectExtent b="0" l="0" r="0" t="0"/>
              <wp:wrapNone/>
              <wp:docPr id="7" name=""/>
              <a:graphic>
                <a:graphicData uri="http://schemas.microsoft.com/office/word/2010/wordprocessingShape">
                  <wps:wsp>
                    <wps:cNvSpPr/>
                    <wps:cNvPr id="3" name="Shape 3"/>
                    <wps:spPr>
                      <a:xfrm>
                        <a:off x="3984243" y="3616170"/>
                        <a:ext cx="2723515" cy="327660"/>
                      </a:xfrm>
                      <a:prstGeom prst="rect">
                        <a:avLst/>
                      </a:prstGeom>
                      <a:noFill/>
                      <a:ln>
                        <a:noFill/>
                      </a:ln>
                    </wps:spPr>
                    <wps:txbx>
                      <w:txbxContent>
                        <w:p w:rsidR="00000000" w:rsidDel="00000000" w:rsidP="00000000" w:rsidRDefault="00000000" w:rsidRPr="00000000">
                          <w:pPr>
                            <w:spacing w:after="0" w:before="13.999999761581421" w:line="240.99998474121094"/>
                            <w:ind w:left="20" w:right="0" w:firstLine="20"/>
                            <w:jc w:val="left"/>
                            <w:textDirection w:val="btLr"/>
                          </w:pPr>
                          <w:r w:rsidDel="00000000" w:rsidR="00000000" w:rsidRPr="00000000">
                            <w:rPr>
                              <w:rFonts w:ascii="Arial" w:cs="Arial" w:eastAsia="Arial" w:hAnsi="Arial"/>
                              <w:b w:val="1"/>
                              <w:i w:val="0"/>
                              <w:smallCaps w:val="0"/>
                              <w:strike w:val="0"/>
                              <w:color w:val="000000"/>
                              <w:sz w:val="21"/>
                              <w:vertAlign w:val="baseline"/>
                            </w:rPr>
                            <w:t xml:space="preserve">Joint Schedule 12 (Supply Chain Visibility)</w:t>
                          </w:r>
                        </w:p>
                        <w:p w:rsidR="00000000" w:rsidDel="00000000" w:rsidP="00000000" w:rsidRDefault="00000000" w:rsidRPr="00000000">
                          <w:pPr>
                            <w:spacing w:after="0" w:before="0" w:line="240.99998474121094"/>
                            <w:ind w:left="20" w:right="0" w:firstLine="20"/>
                            <w:jc w:val="left"/>
                            <w:textDirection w:val="btLr"/>
                          </w:pPr>
                          <w:r w:rsidDel="00000000" w:rsidR="00000000" w:rsidRPr="00000000">
                            <w:rPr>
                              <w:rFonts w:ascii="Arial" w:cs="Arial" w:eastAsia="Arial" w:hAnsi="Arial"/>
                              <w:b w:val="1"/>
                              <w:i w:val="0"/>
                              <w:smallCaps w:val="0"/>
                              <w:strike w:val="0"/>
                              <w:color w:val="000000"/>
                              <w:sz w:val="21"/>
                              <w:vertAlign w:val="baseline"/>
                            </w:rPr>
                          </w:r>
                          <w:r w:rsidDel="00000000" w:rsidR="00000000" w:rsidRPr="00000000">
                            <w:rPr>
                              <w:rFonts w:ascii="Arial" w:cs="Arial" w:eastAsia="Arial" w:hAnsi="Arial"/>
                              <w:b w:val="0"/>
                              <w:i w:val="0"/>
                              <w:smallCaps w:val="0"/>
                              <w:strike w:val="0"/>
                              <w:color w:val="000000"/>
                              <w:sz w:val="21"/>
                              <w:vertAlign w:val="baseline"/>
                            </w:rPr>
                            <w:t xml:space="preserve">Crown Copyright 2024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897241</wp:posOffset>
              </wp:positionH>
              <wp:positionV relativeFrom="page">
                <wp:posOffset>435676</wp:posOffset>
              </wp:positionV>
              <wp:extent cx="2733040" cy="337185"/>
              <wp:effectExtent b="0" l="0" r="0" t="0"/>
              <wp:wrapNone/>
              <wp:docPr id="7"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2733040" cy="33718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63" w:hanging="360"/>
      </w:pPr>
      <w:rPr>
        <w:rFonts w:ascii="Arial" w:cs="Arial" w:eastAsia="Arial" w:hAnsi="Arial"/>
        <w:b w:val="0"/>
        <w:i w:val="0"/>
        <w:sz w:val="24"/>
        <w:szCs w:val="24"/>
      </w:rPr>
    </w:lvl>
    <w:lvl w:ilvl="1">
      <w:start w:val="0"/>
      <w:numFmt w:val="bullet"/>
      <w:lvlText w:val="•"/>
      <w:lvlJc w:val="left"/>
      <w:pPr>
        <w:ind w:left="2221" w:hanging="360"/>
      </w:pPr>
      <w:rPr/>
    </w:lvl>
    <w:lvl w:ilvl="2">
      <w:start w:val="0"/>
      <w:numFmt w:val="bullet"/>
      <w:lvlText w:val="•"/>
      <w:lvlJc w:val="left"/>
      <w:pPr>
        <w:ind w:left="2982" w:hanging="360"/>
      </w:pPr>
      <w:rPr/>
    </w:lvl>
    <w:lvl w:ilvl="3">
      <w:start w:val="0"/>
      <w:numFmt w:val="bullet"/>
      <w:lvlText w:val="•"/>
      <w:lvlJc w:val="left"/>
      <w:pPr>
        <w:ind w:left="3743" w:hanging="360"/>
      </w:pPr>
      <w:rPr/>
    </w:lvl>
    <w:lvl w:ilvl="4">
      <w:start w:val="0"/>
      <w:numFmt w:val="bullet"/>
      <w:lvlText w:val="•"/>
      <w:lvlJc w:val="left"/>
      <w:pPr>
        <w:ind w:left="4504" w:hanging="360"/>
      </w:pPr>
      <w:rPr/>
    </w:lvl>
    <w:lvl w:ilvl="5">
      <w:start w:val="0"/>
      <w:numFmt w:val="bullet"/>
      <w:lvlText w:val="•"/>
      <w:lvlJc w:val="left"/>
      <w:pPr>
        <w:ind w:left="5266" w:hanging="360"/>
      </w:pPr>
      <w:rPr/>
    </w:lvl>
    <w:lvl w:ilvl="6">
      <w:start w:val="0"/>
      <w:numFmt w:val="bullet"/>
      <w:lvlText w:val="•"/>
      <w:lvlJc w:val="left"/>
      <w:pPr>
        <w:ind w:left="6027" w:hanging="360"/>
      </w:pPr>
      <w:rPr/>
    </w:lvl>
    <w:lvl w:ilvl="7">
      <w:start w:val="0"/>
      <w:numFmt w:val="bullet"/>
      <w:lvlText w:val="•"/>
      <w:lvlJc w:val="left"/>
      <w:pPr>
        <w:ind w:left="6788" w:hanging="360"/>
      </w:pPr>
      <w:rPr/>
    </w:lvl>
    <w:lvl w:ilvl="8">
      <w:start w:val="0"/>
      <w:numFmt w:val="bullet"/>
      <w:lvlText w:val="•"/>
      <w:lvlJc w:val="left"/>
      <w:pPr>
        <w:ind w:left="7549" w:hanging="360"/>
      </w:pPr>
      <w:rPr/>
    </w:lvl>
  </w:abstractNum>
  <w:abstractNum w:abstractNumId="2">
    <w:lvl w:ilvl="0">
      <w:start w:val="1"/>
      <w:numFmt w:val="decimal"/>
      <w:lvlText w:val="%1."/>
      <w:lvlJc w:val="left"/>
      <w:pPr>
        <w:ind w:left="306" w:hanging="284"/>
      </w:pPr>
      <w:rPr>
        <w:rFonts w:ascii="Arial" w:cs="Arial" w:eastAsia="Arial" w:hAnsi="Arial"/>
        <w:b w:val="1"/>
        <w:i w:val="0"/>
        <w:sz w:val="24"/>
        <w:szCs w:val="24"/>
      </w:rPr>
    </w:lvl>
    <w:lvl w:ilvl="1">
      <w:start w:val="1"/>
      <w:numFmt w:val="decimal"/>
      <w:lvlText w:val="%1.%2"/>
      <w:lvlJc w:val="left"/>
      <w:pPr>
        <w:ind w:left="743" w:hanging="404"/>
      </w:pPr>
      <w:rPr>
        <w:rFonts w:ascii="Arial" w:cs="Arial" w:eastAsia="Arial" w:hAnsi="Arial"/>
        <w:b w:val="0"/>
        <w:i w:val="0"/>
        <w:sz w:val="24"/>
        <w:szCs w:val="24"/>
      </w:rPr>
    </w:lvl>
    <w:lvl w:ilvl="2">
      <w:start w:val="1"/>
      <w:numFmt w:val="decimal"/>
      <w:lvlText w:val="%1.%2.%3"/>
      <w:lvlJc w:val="left"/>
      <w:pPr>
        <w:ind w:left="1583" w:hanging="566.9999999999999"/>
      </w:pPr>
      <w:rPr>
        <w:rFonts w:ascii="Arial" w:cs="Arial" w:eastAsia="Arial" w:hAnsi="Arial"/>
        <w:b w:val="0"/>
        <w:i w:val="0"/>
        <w:sz w:val="24"/>
        <w:szCs w:val="24"/>
      </w:rPr>
    </w:lvl>
    <w:lvl w:ilvl="3">
      <w:start w:val="0"/>
      <w:numFmt w:val="bullet"/>
      <w:lvlText w:val="•"/>
      <w:lvlJc w:val="left"/>
      <w:pPr>
        <w:ind w:left="1580" w:hanging="567"/>
      </w:pPr>
      <w:rPr/>
    </w:lvl>
    <w:lvl w:ilvl="4">
      <w:start w:val="0"/>
      <w:numFmt w:val="bullet"/>
      <w:lvlText w:val="•"/>
      <w:lvlJc w:val="left"/>
      <w:pPr>
        <w:ind w:left="2650" w:hanging="567"/>
      </w:pPr>
      <w:rPr/>
    </w:lvl>
    <w:lvl w:ilvl="5">
      <w:start w:val="0"/>
      <w:numFmt w:val="bullet"/>
      <w:lvlText w:val="•"/>
      <w:lvlJc w:val="left"/>
      <w:pPr>
        <w:ind w:left="3720" w:hanging="567"/>
      </w:pPr>
      <w:rPr/>
    </w:lvl>
    <w:lvl w:ilvl="6">
      <w:start w:val="0"/>
      <w:numFmt w:val="bullet"/>
      <w:lvlText w:val="•"/>
      <w:lvlJc w:val="left"/>
      <w:pPr>
        <w:ind w:left="4791" w:hanging="567"/>
      </w:pPr>
      <w:rPr/>
    </w:lvl>
    <w:lvl w:ilvl="7">
      <w:start w:val="0"/>
      <w:numFmt w:val="bullet"/>
      <w:lvlText w:val="•"/>
      <w:lvlJc w:val="left"/>
      <w:pPr>
        <w:ind w:left="5861" w:hanging="567"/>
      </w:pPr>
      <w:rPr/>
    </w:lvl>
    <w:lvl w:ilvl="8">
      <w:start w:val="0"/>
      <w:numFmt w:val="bullet"/>
      <w:lvlText w:val="•"/>
      <w:lvlJc w:val="left"/>
      <w:pPr>
        <w:ind w:left="6931" w:hanging="567"/>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ind w:left="304"/>
    </w:pPr>
    <w:rPr>
      <w:rFonts w:ascii="Arial" w:cs="Arial" w:eastAsia="Arial" w:hAnsi="Arial"/>
      <w:b w:val="1"/>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ind w:left="23"/>
    </w:pPr>
    <w:rPr>
      <w:rFonts w:ascii="Arial" w:cs="Arial" w:eastAsia="Arial" w:hAnsi="Arial"/>
      <w:b w:val="1"/>
      <w:sz w:val="36"/>
      <w:szCs w:val="36"/>
    </w:rPr>
  </w:style>
  <w:style w:type="character" w:styleId="DefaultParagraphFont" w:default="1">
    <w:name w:val="Default Paragraph Font"/>
    <w:uiPriority w:val="1"/>
    <w:semiHidden w:val="1"/>
    <w:unhideWhenUsed w:val="1"/>
  </w:style>
  <w:style w:type="table" w:styleId="TableNormal" w:default="1">
    <w:name w:val="Table Normal"/>
    <w:uiPriority w:val="2"/>
    <w:semiHidden w:val="1"/>
    <w:unhideWhenUsed w:val="1"/>
    <w:qFormat w:val="1"/>
    <w:tblPr>
      <w:tblInd w:w="0.0" w:type="dxa"/>
      <w:tblCellMar>
        <w:top w:w="0.0" w:type="dxa"/>
        <w:left w:w="0.0" w:type="dxa"/>
        <w:bottom w:w="0.0" w:type="dxa"/>
        <w:right w:w="0.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rPr>
      <w:rFonts w:ascii="Arial" w:cs="Arial" w:eastAsia="Arial" w:hAnsi="Arial"/>
      <w:sz w:val="24"/>
      <w:szCs w:val="24"/>
      <w:lang w:bidi="ar-SA" w:eastAsia="en-US" w:val="en-US"/>
    </w:rPr>
  </w:style>
  <w:style w:type="paragraph" w:styleId="ListParagraph">
    <w:name w:val="List Paragraph"/>
    <w:basedOn w:val="Normal"/>
    <w:uiPriority w:val="1"/>
    <w:qFormat w:val="1"/>
    <w:pPr>
      <w:ind w:left="1017" w:hanging="567"/>
    </w:pPr>
    <w:rPr>
      <w:rFonts w:ascii="Arial" w:cs="Arial" w:eastAsia="Arial" w:hAnsi="Arial"/>
      <w:lang w:bidi="ar-SA" w:eastAsia="en-US" w:val="en-US"/>
    </w:rPr>
  </w:style>
  <w:style w:type="paragraph" w:styleId="TableParagraph">
    <w:name w:val="Table Paragraph"/>
    <w:basedOn w:val="Normal"/>
    <w:uiPriority w:val="1"/>
    <w:qFormat w:val="1"/>
    <w:pPr>
      <w:spacing w:line="229" w:lineRule="exact"/>
      <w:ind w:left="1"/>
    </w:pPr>
    <w:rPr>
      <w:rFonts w:ascii="Arial" w:cs="Arial" w:eastAsia="Arial" w:hAnsi="Arial"/>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jeqpvTE1mRy42dgmqp1M6JS1A==">CgMxLjA4AHIhMWtjMXNDekFVQzAwN3E1WjdDSWZ1MnI5azcwTE1HbnFm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2025-07-03T13:55:22Z</dcterms:created>
  <dc:creator>Louise Bennett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2132d773-378f-40aa-981c-0eb0f81918c2</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